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3AB9" w14:textId="01BB6DD7" w:rsidR="008420D6" w:rsidRDefault="008420D6">
      <w:pPr>
        <w:rPr>
          <w:b/>
          <w:bCs/>
          <w:sz w:val="32"/>
          <w:szCs w:val="32"/>
          <w:u w:val="single"/>
        </w:rPr>
      </w:pPr>
      <w:r w:rsidRPr="00A22BC8">
        <w:rPr>
          <w:b/>
          <w:bCs/>
          <w:sz w:val="32"/>
          <w:szCs w:val="32"/>
          <w:u w:val="single"/>
        </w:rPr>
        <w:t>Impact of COVID on UGVS ATSM</w:t>
      </w:r>
    </w:p>
    <w:p w14:paraId="0E718915" w14:textId="39BFD067" w:rsidR="00B24261" w:rsidRPr="00B24261" w:rsidRDefault="00B24261">
      <w:pPr>
        <w:rPr>
          <w:sz w:val="24"/>
          <w:szCs w:val="24"/>
        </w:rPr>
      </w:pPr>
      <w:r w:rsidRPr="00B24261">
        <w:rPr>
          <w:sz w:val="24"/>
          <w:szCs w:val="24"/>
        </w:rPr>
        <w:t xml:space="preserve">Georgina Baines, Carmel Ramage, Karen </w:t>
      </w:r>
      <w:proofErr w:type="spellStart"/>
      <w:r w:rsidRPr="00B24261">
        <w:rPr>
          <w:sz w:val="24"/>
          <w:szCs w:val="24"/>
        </w:rPr>
        <w:t>Guererro</w:t>
      </w:r>
      <w:proofErr w:type="spellEnd"/>
    </w:p>
    <w:p w14:paraId="27F9B7F1" w14:textId="546FF3DB" w:rsidR="00A22BC8" w:rsidRPr="002F4B80" w:rsidRDefault="00FE4335">
      <w:pPr>
        <w:rPr>
          <w:b/>
          <w:bCs/>
          <w:i/>
          <w:iCs/>
        </w:rPr>
      </w:pPr>
      <w:r w:rsidRPr="002F4B80">
        <w:rPr>
          <w:b/>
          <w:bCs/>
          <w:i/>
          <w:iCs/>
        </w:rPr>
        <w:t>Aim</w:t>
      </w:r>
    </w:p>
    <w:p w14:paraId="03E16FDF" w14:textId="7495E030" w:rsidR="00A22BC8" w:rsidRDefault="00FE4335">
      <w:r>
        <w:t>The aim of this project was to assess the impact that changes in work around the COVID-19 pandemic have had on the Urogynaecology and Vaginal surgery</w:t>
      </w:r>
      <w:r w:rsidR="002F4B80">
        <w:t xml:space="preserve"> (UGVS)</w:t>
      </w:r>
      <w:r>
        <w:t xml:space="preserve"> ATSM. </w:t>
      </w:r>
    </w:p>
    <w:p w14:paraId="50CEDD16" w14:textId="690C73C4" w:rsidR="00FE4335" w:rsidRPr="002F4B80" w:rsidRDefault="00FE4335">
      <w:pPr>
        <w:rPr>
          <w:b/>
          <w:bCs/>
        </w:rPr>
      </w:pPr>
      <w:r w:rsidRPr="002F4B80">
        <w:rPr>
          <w:b/>
          <w:bCs/>
          <w:i/>
          <w:iCs/>
        </w:rPr>
        <w:t>Methods</w:t>
      </w:r>
    </w:p>
    <w:p w14:paraId="769A693A" w14:textId="1A1F44DE" w:rsidR="00471C4D" w:rsidRDefault="00FE4335">
      <w:r>
        <w:t>We generated a questionnaire</w:t>
      </w:r>
      <w:r w:rsidR="00471C4D">
        <w:t xml:space="preserve"> for trainees to complete </w:t>
      </w:r>
      <w:r>
        <w:t xml:space="preserve">which asked </w:t>
      </w:r>
      <w:r w:rsidR="00471C4D">
        <w:t xml:space="preserve">basic </w:t>
      </w:r>
      <w:r>
        <w:t xml:space="preserve">demographic details and questions on </w:t>
      </w:r>
      <w:r w:rsidR="00471C4D">
        <w:t xml:space="preserve">how and if </w:t>
      </w:r>
      <w:r>
        <w:t xml:space="preserve">COVID-19 </w:t>
      </w:r>
      <w:r w:rsidR="00471C4D">
        <w:t xml:space="preserve">had impacted </w:t>
      </w:r>
      <w:r>
        <w:t xml:space="preserve">on </w:t>
      </w:r>
      <w:r w:rsidR="00471C4D">
        <w:t xml:space="preserve">their UGVS ATSM </w:t>
      </w:r>
      <w:r>
        <w:t>and progression</w:t>
      </w:r>
      <w:r w:rsidR="00471C4D">
        <w:t xml:space="preserve"> of their training</w:t>
      </w:r>
      <w:r>
        <w:t xml:space="preserve">.  There was a space for free text comments.  </w:t>
      </w:r>
    </w:p>
    <w:p w14:paraId="1DC209EF" w14:textId="653A9102" w:rsidR="00FE4335" w:rsidRDefault="00FE4335">
      <w:r>
        <w:t xml:space="preserve">This was circulated </w:t>
      </w:r>
      <w:r w:rsidR="00471C4D">
        <w:t xml:space="preserve">via British Society of Urogynaecology (BSUG) </w:t>
      </w:r>
      <w:r>
        <w:t xml:space="preserve">to </w:t>
      </w:r>
      <w:r w:rsidR="00471C4D">
        <w:t xml:space="preserve">the UGVS </w:t>
      </w:r>
      <w:r>
        <w:t>ATSM preceptors</w:t>
      </w:r>
      <w:r w:rsidR="00471C4D">
        <w:t xml:space="preserve"> nationally for distribution to their trainees</w:t>
      </w:r>
      <w:r>
        <w:t xml:space="preserve">, </w:t>
      </w:r>
      <w:r w:rsidR="00471C4D">
        <w:t xml:space="preserve">to the BSUG </w:t>
      </w:r>
      <w:r>
        <w:t xml:space="preserve">associate members </w:t>
      </w:r>
      <w:r w:rsidR="00471C4D">
        <w:t xml:space="preserve">(trainees) </w:t>
      </w:r>
      <w:r>
        <w:t xml:space="preserve">and shared on </w:t>
      </w:r>
      <w:r w:rsidR="00471C4D">
        <w:t xml:space="preserve">Urogynaecology trainee </w:t>
      </w:r>
      <w:r>
        <w:t>social media</w:t>
      </w:r>
      <w:r w:rsidR="00471C4D">
        <w:t xml:space="preserve"> groups</w:t>
      </w:r>
      <w:r w:rsidR="00FF30DE">
        <w:t xml:space="preserve"> in April 2021</w:t>
      </w:r>
      <w:r w:rsidR="00471C4D">
        <w:t>.</w:t>
      </w:r>
    </w:p>
    <w:p w14:paraId="093292D8" w14:textId="4D2991F3" w:rsidR="00FE4335" w:rsidRPr="002F4B80" w:rsidRDefault="00FE4335">
      <w:pPr>
        <w:rPr>
          <w:b/>
          <w:bCs/>
          <w:i/>
          <w:iCs/>
        </w:rPr>
      </w:pPr>
      <w:r w:rsidRPr="002F4B80">
        <w:rPr>
          <w:b/>
          <w:bCs/>
          <w:i/>
          <w:iCs/>
        </w:rPr>
        <w:t>Results</w:t>
      </w:r>
    </w:p>
    <w:p w14:paraId="426B9A7A" w14:textId="7ADF0934" w:rsidR="00471C4D" w:rsidRDefault="00FE4335">
      <w:r>
        <w:t xml:space="preserve">24 </w:t>
      </w:r>
      <w:r w:rsidR="00471C4D">
        <w:t>trainees</w:t>
      </w:r>
      <w:r>
        <w:t xml:space="preserve"> completed the questionnaire.  2</w:t>
      </w:r>
      <w:r w:rsidR="002F4B80">
        <w:t>1</w:t>
      </w:r>
      <w:r>
        <w:t>% were ST6, 5</w:t>
      </w:r>
      <w:r w:rsidR="002F4B80">
        <w:t>0</w:t>
      </w:r>
      <w:r>
        <w:t>% ST7, 4%</w:t>
      </w:r>
      <w:r w:rsidR="00AB4058">
        <w:t xml:space="preserve"> post CCT and</w:t>
      </w:r>
      <w:r>
        <w:t xml:space="preserve"> 2</w:t>
      </w:r>
      <w:r w:rsidR="002F4B80">
        <w:t>5</w:t>
      </w:r>
      <w:r>
        <w:t xml:space="preserve">% </w:t>
      </w:r>
      <w:r w:rsidR="00AB4058">
        <w:t>in a non-training grade</w:t>
      </w:r>
      <w:r>
        <w:t>.</w:t>
      </w:r>
      <w:r w:rsidR="00AB4058">
        <w:t xml:space="preserve">  These individuals had registered for the ATSM between February 2016 and June 2020</w:t>
      </w:r>
      <w:r w:rsidR="00471C4D">
        <w:t>.</w:t>
      </w:r>
      <w:r w:rsidR="00AB4058">
        <w:t xml:space="preserve">  </w:t>
      </w:r>
    </w:p>
    <w:p w14:paraId="4ED0EE1E" w14:textId="78A9B5C3" w:rsidR="00FE4335" w:rsidRDefault="00AB4058">
      <w:r>
        <w:t>Every region of the country was represe</w:t>
      </w:r>
      <w:r w:rsidR="00A35616">
        <w:t>nted</w:t>
      </w:r>
      <w:r w:rsidR="001B3DDA">
        <w:t xml:space="preserve"> (</w:t>
      </w:r>
      <w:proofErr w:type="spellStart"/>
      <w:r w:rsidR="001B3DDA">
        <w:t>eg.</w:t>
      </w:r>
      <w:proofErr w:type="spellEnd"/>
      <w:r w:rsidR="001B3DDA">
        <w:t xml:space="preserve"> South west, south east</w:t>
      </w:r>
      <w:r w:rsidR="00471C4D">
        <w:t xml:space="preserve">, Wales, Scotland </w:t>
      </w:r>
      <w:r w:rsidR="001B3DDA">
        <w:t>etc.)</w:t>
      </w:r>
      <w:r>
        <w:t>.  6</w:t>
      </w:r>
      <w:r w:rsidR="002F4B80">
        <w:t>7</w:t>
      </w:r>
      <w:r>
        <w:t>% of respondents were working full time with 3</w:t>
      </w:r>
      <w:r w:rsidR="002F4B80">
        <w:t>3</w:t>
      </w:r>
      <w:r>
        <w:t xml:space="preserve">% less than full time.  3 </w:t>
      </w:r>
      <w:r w:rsidR="00471C4D">
        <w:t xml:space="preserve">trainees </w:t>
      </w:r>
      <w:r>
        <w:t>(13%) were registered for the optional laparoscopic module.</w:t>
      </w:r>
    </w:p>
    <w:p w14:paraId="29AC7FFF" w14:textId="56826309" w:rsidR="00014526" w:rsidRDefault="00AB4058">
      <w:r>
        <w:t xml:space="preserve">83% </w:t>
      </w:r>
      <w:r w:rsidR="00471C4D" w:rsidRPr="00FF30DE">
        <w:t>(</w:t>
      </w:r>
      <w:r w:rsidR="00FF30DE" w:rsidRPr="00FF30DE">
        <w:t>20</w:t>
      </w:r>
      <w:r w:rsidR="00FF30DE">
        <w:t xml:space="preserve"> people</w:t>
      </w:r>
      <w:r w:rsidR="00471C4D" w:rsidRPr="00FF30DE">
        <w:t xml:space="preserve">) </w:t>
      </w:r>
      <w:r>
        <w:t xml:space="preserve">felt that their training had been </w:t>
      </w:r>
      <w:r w:rsidR="00471C4D">
        <w:t xml:space="preserve">negatively </w:t>
      </w:r>
      <w:r>
        <w:t>affected by COVID-19.</w:t>
      </w:r>
      <w:r w:rsidR="002F4B80">
        <w:t xml:space="preserve">  Changes in operating lists affecting training w</w:t>
      </w:r>
      <w:r w:rsidR="002F63C7">
        <w:t>ere</w:t>
      </w:r>
      <w:r w:rsidR="002F4B80">
        <w:t xml:space="preserve"> reported by 88% of </w:t>
      </w:r>
      <w:r w:rsidR="00471C4D">
        <w:t>trainees</w:t>
      </w:r>
      <w:r w:rsidR="002F4B80">
        <w:t>, with 76% reporting changes in Urodynamics</w:t>
      </w:r>
      <w:r w:rsidR="00471C4D">
        <w:t xml:space="preserve"> (table 1)</w:t>
      </w:r>
      <w:r w:rsidR="002F4B80">
        <w:t xml:space="preserve">.  Other factors affecting training include changes to outpatient clinics, fewer opportunities for teaching and courses and access to educational supervision (table 1).  </w:t>
      </w:r>
    </w:p>
    <w:p w14:paraId="69B7CDCB" w14:textId="436635D9" w:rsidR="00014526" w:rsidRDefault="002F4B80">
      <w:r>
        <w:t>29% of individuals had to spend time at home when they would have normally been at work and this time varied from 2 days to 3 months.  The average number of hours worked increased for 21%</w:t>
      </w:r>
      <w:r w:rsidR="002F63C7">
        <w:t xml:space="preserve"> of people</w:t>
      </w:r>
      <w:r>
        <w:t xml:space="preserve"> and decreased for 8%. </w:t>
      </w:r>
    </w:p>
    <w:p w14:paraId="43215004" w14:textId="0DA1EC6F" w:rsidR="008F25CB" w:rsidRDefault="00014526">
      <w:r>
        <w:t xml:space="preserve">75% of trainees anticipate that COVID will affect their training progression or delay their CCT date.  </w:t>
      </w:r>
      <w:r w:rsidR="002F4B80">
        <w:t xml:space="preserve">A quarter of respondents </w:t>
      </w:r>
      <w:r>
        <w:t xml:space="preserve">had already </w:t>
      </w:r>
      <w:r w:rsidR="002F4B80">
        <w:t>received a COVID outcome (10.1 or 10.2) at their last ARCP, and 83% of th</w:t>
      </w:r>
      <w:r>
        <w:t>ese</w:t>
      </w:r>
      <w:r w:rsidR="002F4B80">
        <w:t xml:space="preserve"> felt that this was due to difficulties with </w:t>
      </w:r>
      <w:r>
        <w:t>completing</w:t>
      </w:r>
      <w:r w:rsidR="002F4B80">
        <w:t xml:space="preserve"> UGVS ATSM.</w:t>
      </w:r>
      <w:r w:rsidR="008F25CB">
        <w:t xml:space="preserve"> </w:t>
      </w:r>
      <w:r w:rsidR="00D55D61">
        <w:t>38</w:t>
      </w:r>
      <w:r>
        <w:t>% (</w:t>
      </w:r>
      <w:r w:rsidR="00D55D61">
        <w:t>9</w:t>
      </w:r>
      <w:r>
        <w:t>)</w:t>
      </w:r>
      <w:r w:rsidR="008F25CB">
        <w:t xml:space="preserve"> </w:t>
      </w:r>
      <w:r>
        <w:t xml:space="preserve">stated they </w:t>
      </w:r>
      <w:r w:rsidR="008F25CB">
        <w:t xml:space="preserve">require an extension to training and </w:t>
      </w:r>
      <w:r w:rsidR="00D55D61">
        <w:t>25% (</w:t>
      </w:r>
      <w:r w:rsidR="008F25CB">
        <w:t>6</w:t>
      </w:r>
      <w:r w:rsidR="00D55D61">
        <w:t>)</w:t>
      </w:r>
      <w:r w:rsidR="008F25CB">
        <w:t xml:space="preserve"> anticipate an extension.  Of those people requiring or anticipating an extension to training, this varies from 3 months to ‘at least a year’ with 5</w:t>
      </w:r>
      <w:r>
        <w:t xml:space="preserve"> (</w:t>
      </w:r>
      <w:r w:rsidR="00D55D61">
        <w:t>33</w:t>
      </w:r>
      <w:r>
        <w:t>%)</w:t>
      </w:r>
      <w:r w:rsidR="008F25CB">
        <w:t xml:space="preserve"> people expecting 12 months or more extension.</w:t>
      </w:r>
    </w:p>
    <w:p w14:paraId="4E3431C5" w14:textId="3BA01FB6" w:rsidR="00014526" w:rsidRDefault="00D55D61" w:rsidP="00014526">
      <w:r>
        <w:t>3 (13%</w:t>
      </w:r>
      <w:r w:rsidR="00014526">
        <w:t xml:space="preserve">) trainees </w:t>
      </w:r>
      <w:r>
        <w:t>had to</w:t>
      </w:r>
      <w:r w:rsidR="00014526">
        <w:t xml:space="preserve"> change to an alternative ATSM as completing the UGVS was not achievable in</w:t>
      </w:r>
      <w:r>
        <w:t xml:space="preserve"> the</w:t>
      </w:r>
      <w:r w:rsidR="00014526">
        <w:t xml:space="preserve"> required timespan.</w:t>
      </w:r>
    </w:p>
    <w:p w14:paraId="1E18ACD8" w14:textId="77777777" w:rsidR="00014526" w:rsidRDefault="00014526"/>
    <w:p w14:paraId="4A1D604B" w14:textId="7CBB7C3A" w:rsidR="008C6AE9" w:rsidRPr="00FE4335" w:rsidRDefault="008C6AE9">
      <w:r>
        <w:t xml:space="preserve">Free text </w:t>
      </w:r>
      <w:r w:rsidR="00014526">
        <w:t>comments from the trainees</w:t>
      </w:r>
      <w:r>
        <w:t xml:space="preserve"> highlight</w:t>
      </w:r>
      <w:r w:rsidR="00014526">
        <w:t>ed</w:t>
      </w:r>
      <w:r>
        <w:t xml:space="preserve"> the importance of operating to progress with the ATSM</w:t>
      </w:r>
      <w:r w:rsidR="00D55D61">
        <w:t xml:space="preserve"> and t</w:t>
      </w:r>
      <w:r w:rsidR="00014526">
        <w:t>he non-urgent nature of Urogynaecology surgery leading to cancellation of cases. Some procedures, such as Sa</w:t>
      </w:r>
      <w:r>
        <w:t>crospinous fixation</w:t>
      </w:r>
      <w:r w:rsidR="00014526">
        <w:t xml:space="preserve">, required travel to other units to complete which again had been hindered by COVID. </w:t>
      </w:r>
      <w:r>
        <w:t>(see fig 1).</w:t>
      </w:r>
    </w:p>
    <w:p w14:paraId="425FFD10" w14:textId="77777777" w:rsidR="00014526" w:rsidRDefault="00014526">
      <w:pPr>
        <w:rPr>
          <w:b/>
          <w:bCs/>
          <w:i/>
          <w:iCs/>
        </w:rPr>
      </w:pPr>
    </w:p>
    <w:p w14:paraId="4A2E35D0" w14:textId="2D94D945" w:rsidR="00FE4335" w:rsidRDefault="00FE4335">
      <w:pPr>
        <w:rPr>
          <w:b/>
          <w:bCs/>
          <w:i/>
          <w:iCs/>
        </w:rPr>
      </w:pPr>
      <w:r w:rsidRPr="002F4B80">
        <w:rPr>
          <w:b/>
          <w:bCs/>
          <w:i/>
          <w:iCs/>
        </w:rPr>
        <w:t>Conclusions</w:t>
      </w:r>
    </w:p>
    <w:p w14:paraId="5DCEDE0E" w14:textId="75A3A0BE" w:rsidR="000803B9" w:rsidRDefault="008C6AE9">
      <w:r>
        <w:t xml:space="preserve">The COVID-19 pandemic has had a profound </w:t>
      </w:r>
      <w:r w:rsidR="000803B9">
        <w:t xml:space="preserve">negative </w:t>
      </w:r>
      <w:r>
        <w:t xml:space="preserve">effect on those individuals registered for the UGVS ATSM.  This is predominantly due to reductions in operating lists and </w:t>
      </w:r>
      <w:r w:rsidR="000803B9">
        <w:t>access to cases and procedures</w:t>
      </w:r>
      <w:r w:rsidR="00A03382">
        <w:t>.</w:t>
      </w:r>
      <w:r>
        <w:t xml:space="preserve"> </w:t>
      </w:r>
    </w:p>
    <w:p w14:paraId="3CCB14EB" w14:textId="77777777" w:rsidR="000803B9" w:rsidRDefault="000803B9">
      <w:r>
        <w:t xml:space="preserve">The </w:t>
      </w:r>
      <w:r w:rsidR="008C6AE9">
        <w:t xml:space="preserve">majority </w:t>
      </w:r>
      <w:r>
        <w:t>either have, or</w:t>
      </w:r>
      <w:r w:rsidR="008C6AE9">
        <w:t xml:space="preserve"> anticipate that they will</w:t>
      </w:r>
      <w:r>
        <w:t>,</w:t>
      </w:r>
      <w:r w:rsidR="008C6AE9">
        <w:t xml:space="preserve"> require an extension to training. </w:t>
      </w:r>
      <w:r w:rsidR="00A03382">
        <w:t xml:space="preserve"> </w:t>
      </w:r>
    </w:p>
    <w:p w14:paraId="1F3E3D20" w14:textId="3F99B136" w:rsidR="000803B9" w:rsidRDefault="00A03382">
      <w:r>
        <w:t xml:space="preserve">It has highlighted that </w:t>
      </w:r>
      <w:r w:rsidR="000803B9">
        <w:t>the difficulties within the specialty</w:t>
      </w:r>
      <w:r>
        <w:t xml:space="preserve"> with access to theatres</w:t>
      </w:r>
      <w:r w:rsidR="00D55D61">
        <w:t>,</w:t>
      </w:r>
      <w:r>
        <w:t xml:space="preserve"> and cancellations which are exacerbated at times of clinical pressure</w:t>
      </w:r>
      <w:r w:rsidR="000803B9">
        <w:t xml:space="preserve"> due to the nature of Urogynaecology being non-urgent.</w:t>
      </w:r>
      <w:r w:rsidR="008C6AE9">
        <w:t xml:space="preserve">  </w:t>
      </w:r>
    </w:p>
    <w:p w14:paraId="37A4CD92" w14:textId="06302D14" w:rsidR="008C6AE9" w:rsidRPr="008C6AE9" w:rsidRDefault="00A03382">
      <w:r>
        <w:t xml:space="preserve">It is important to address these problems as significant delays in training may affect </w:t>
      </w:r>
      <w:r w:rsidR="000803B9">
        <w:t xml:space="preserve">trainee completion dates, </w:t>
      </w:r>
      <w:r>
        <w:t>work-force planning</w:t>
      </w:r>
      <w:r w:rsidR="00D55D61">
        <w:t>,</w:t>
      </w:r>
      <w:r>
        <w:t xml:space="preserve"> </w:t>
      </w:r>
      <w:r w:rsidR="000803B9">
        <w:t xml:space="preserve">including recruitment into urogynaecology. </w:t>
      </w:r>
    </w:p>
    <w:p w14:paraId="308AE8D3" w14:textId="4EB9C923" w:rsidR="002F4B80" w:rsidRDefault="002F4B80"/>
    <w:p w14:paraId="48662AF7" w14:textId="02ABCE0E" w:rsidR="002F4B80" w:rsidRPr="002F4B80" w:rsidRDefault="002F4B80">
      <w:pPr>
        <w:rPr>
          <w:i/>
          <w:iCs/>
        </w:rPr>
      </w:pPr>
      <w:r w:rsidRPr="002F4B80">
        <w:rPr>
          <w:i/>
          <w:iCs/>
        </w:rPr>
        <w:t>Table 1.</w:t>
      </w:r>
    </w:p>
    <w:p w14:paraId="2EFCEA7F" w14:textId="4410AC96" w:rsidR="002F4B80" w:rsidRDefault="002F4B80" w:rsidP="002F4B80">
      <w:r>
        <w:t>Training has been affected by changes 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2F4B80" w14:paraId="4050FFF1" w14:textId="77777777" w:rsidTr="00376DB2">
        <w:tc>
          <w:tcPr>
            <w:tcW w:w="988" w:type="dxa"/>
          </w:tcPr>
          <w:p w14:paraId="37BCDA89" w14:textId="77777777" w:rsidR="002F4B80" w:rsidRDefault="002F4B80" w:rsidP="00376DB2">
            <w:r>
              <w:t>88%</w:t>
            </w:r>
          </w:p>
        </w:tc>
        <w:tc>
          <w:tcPr>
            <w:tcW w:w="8028" w:type="dxa"/>
          </w:tcPr>
          <w:p w14:paraId="63188FC9" w14:textId="77777777" w:rsidR="002F4B80" w:rsidRDefault="002F4B80" w:rsidP="00376DB2">
            <w:r>
              <w:t>Operating lists</w:t>
            </w:r>
          </w:p>
        </w:tc>
      </w:tr>
      <w:tr w:rsidR="002F4B80" w14:paraId="7A3DAD4F" w14:textId="77777777" w:rsidTr="00376DB2">
        <w:tc>
          <w:tcPr>
            <w:tcW w:w="988" w:type="dxa"/>
          </w:tcPr>
          <w:p w14:paraId="7E7785EE" w14:textId="77777777" w:rsidR="002F4B80" w:rsidRDefault="002F4B80" w:rsidP="00376DB2">
            <w:r>
              <w:t>76%</w:t>
            </w:r>
          </w:p>
        </w:tc>
        <w:tc>
          <w:tcPr>
            <w:tcW w:w="8028" w:type="dxa"/>
          </w:tcPr>
          <w:p w14:paraId="4A5A034E" w14:textId="77777777" w:rsidR="002F4B80" w:rsidRDefault="002F4B80" w:rsidP="00376DB2">
            <w:r>
              <w:t>Urodynamics</w:t>
            </w:r>
          </w:p>
        </w:tc>
      </w:tr>
      <w:tr w:rsidR="002F4B80" w14:paraId="69AE4A53" w14:textId="77777777" w:rsidTr="00376DB2">
        <w:tc>
          <w:tcPr>
            <w:tcW w:w="988" w:type="dxa"/>
          </w:tcPr>
          <w:p w14:paraId="2B2EB812" w14:textId="77777777" w:rsidR="002F4B80" w:rsidRDefault="002F4B80" w:rsidP="00376DB2">
            <w:r>
              <w:t>66%</w:t>
            </w:r>
          </w:p>
        </w:tc>
        <w:tc>
          <w:tcPr>
            <w:tcW w:w="8028" w:type="dxa"/>
          </w:tcPr>
          <w:p w14:paraId="3A58547E" w14:textId="77777777" w:rsidR="002F4B80" w:rsidRDefault="002F4B80" w:rsidP="00376DB2">
            <w:r>
              <w:t>Outpatient clinics</w:t>
            </w:r>
          </w:p>
        </w:tc>
      </w:tr>
      <w:tr w:rsidR="002F4B80" w14:paraId="2A4EEEAA" w14:textId="77777777" w:rsidTr="00376DB2">
        <w:tc>
          <w:tcPr>
            <w:tcW w:w="988" w:type="dxa"/>
          </w:tcPr>
          <w:p w14:paraId="5E664936" w14:textId="77777777" w:rsidR="002F4B80" w:rsidRDefault="002F4B80" w:rsidP="00376DB2">
            <w:r>
              <w:t>58%</w:t>
            </w:r>
          </w:p>
        </w:tc>
        <w:tc>
          <w:tcPr>
            <w:tcW w:w="8028" w:type="dxa"/>
          </w:tcPr>
          <w:p w14:paraId="15138E83" w14:textId="77777777" w:rsidR="002F4B80" w:rsidRDefault="002F4B80" w:rsidP="00376DB2">
            <w:r>
              <w:t>Teaching sessions/courses</w:t>
            </w:r>
          </w:p>
        </w:tc>
      </w:tr>
      <w:tr w:rsidR="002F4B80" w14:paraId="7AAF24A9" w14:textId="77777777" w:rsidTr="00376DB2">
        <w:tc>
          <w:tcPr>
            <w:tcW w:w="988" w:type="dxa"/>
          </w:tcPr>
          <w:p w14:paraId="3126B6A4" w14:textId="77777777" w:rsidR="002F4B80" w:rsidRDefault="002F4B80" w:rsidP="00376DB2">
            <w:r>
              <w:t>50%</w:t>
            </w:r>
          </w:p>
        </w:tc>
        <w:tc>
          <w:tcPr>
            <w:tcW w:w="8028" w:type="dxa"/>
          </w:tcPr>
          <w:p w14:paraId="353984F9" w14:textId="77777777" w:rsidR="002F4B80" w:rsidRDefault="002F4B80" w:rsidP="00376DB2">
            <w:r>
              <w:t>Inpatient care</w:t>
            </w:r>
          </w:p>
        </w:tc>
      </w:tr>
      <w:tr w:rsidR="002F4B80" w14:paraId="2C41B431" w14:textId="77777777" w:rsidTr="00376DB2">
        <w:tc>
          <w:tcPr>
            <w:tcW w:w="988" w:type="dxa"/>
          </w:tcPr>
          <w:p w14:paraId="2C1E704A" w14:textId="77777777" w:rsidR="002F4B80" w:rsidRDefault="002F4B80" w:rsidP="00376DB2">
            <w:r>
              <w:t>38%</w:t>
            </w:r>
          </w:p>
        </w:tc>
        <w:tc>
          <w:tcPr>
            <w:tcW w:w="8028" w:type="dxa"/>
          </w:tcPr>
          <w:p w14:paraId="26C69B54" w14:textId="77777777" w:rsidR="002F4B80" w:rsidRDefault="002F4B80" w:rsidP="00376DB2">
            <w:r>
              <w:t>Rota changes</w:t>
            </w:r>
          </w:p>
        </w:tc>
      </w:tr>
      <w:tr w:rsidR="002F4B80" w14:paraId="218B622B" w14:textId="77777777" w:rsidTr="00376DB2">
        <w:tc>
          <w:tcPr>
            <w:tcW w:w="988" w:type="dxa"/>
          </w:tcPr>
          <w:p w14:paraId="6FAA8AFF" w14:textId="77777777" w:rsidR="002F4B80" w:rsidRDefault="002F4B80" w:rsidP="00376DB2">
            <w:r>
              <w:t>17%</w:t>
            </w:r>
          </w:p>
        </w:tc>
        <w:tc>
          <w:tcPr>
            <w:tcW w:w="8028" w:type="dxa"/>
          </w:tcPr>
          <w:p w14:paraId="7CA3589C" w14:textId="77777777" w:rsidR="002F4B80" w:rsidRDefault="002F4B80" w:rsidP="00376DB2">
            <w:r>
              <w:t>Access to Educational supervisor</w:t>
            </w:r>
          </w:p>
        </w:tc>
      </w:tr>
      <w:tr w:rsidR="002F4B80" w14:paraId="23323B29" w14:textId="77777777" w:rsidTr="00376DB2">
        <w:tc>
          <w:tcPr>
            <w:tcW w:w="988" w:type="dxa"/>
          </w:tcPr>
          <w:p w14:paraId="7B41CB15" w14:textId="77777777" w:rsidR="002F4B80" w:rsidRDefault="002F4B80" w:rsidP="00376DB2">
            <w:r>
              <w:t>4%</w:t>
            </w:r>
          </w:p>
        </w:tc>
        <w:tc>
          <w:tcPr>
            <w:tcW w:w="8028" w:type="dxa"/>
          </w:tcPr>
          <w:p w14:paraId="2618DF10" w14:textId="77777777" w:rsidR="002F4B80" w:rsidRDefault="002F4B80" w:rsidP="00376DB2">
            <w:r>
              <w:t>Change in staffing levels</w:t>
            </w:r>
          </w:p>
        </w:tc>
      </w:tr>
    </w:tbl>
    <w:p w14:paraId="56193753" w14:textId="48C8AFAF" w:rsidR="002F4B80" w:rsidRDefault="002F4B80"/>
    <w:p w14:paraId="56089AA6" w14:textId="644B515D" w:rsidR="008C6AE9" w:rsidRDefault="008C6AE9">
      <w:r>
        <w:t>Figure 1.</w:t>
      </w:r>
    </w:p>
    <w:p w14:paraId="387D4A2E" w14:textId="6934EF2F" w:rsidR="002F63C7" w:rsidRDefault="002F63C7">
      <w:r>
        <w:t>Word cloud generated from free text answers</w:t>
      </w:r>
    </w:p>
    <w:p w14:paraId="75D607FA" w14:textId="51CE230B" w:rsidR="002F4B80" w:rsidRDefault="008C6AE9">
      <w:r>
        <w:rPr>
          <w:noProof/>
        </w:rPr>
        <w:drawing>
          <wp:inline distT="0" distB="0" distL="0" distR="0" wp14:anchorId="6C232D64" wp14:editId="1C9151B6">
            <wp:extent cx="4901979" cy="26098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14" t="8195" r="10093" b="19311"/>
                    <a:stretch/>
                  </pic:blipFill>
                  <pic:spPr bwMode="auto">
                    <a:xfrm>
                      <a:off x="0" y="0"/>
                      <a:ext cx="4908287" cy="2613208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B49A33" w14:textId="71A5D3CE" w:rsidR="008420D6" w:rsidRDefault="008420D6" w:rsidP="00B24261"/>
    <w:sectPr w:rsidR="00842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D6"/>
    <w:rsid w:val="00014526"/>
    <w:rsid w:val="000803B9"/>
    <w:rsid w:val="001B3DDA"/>
    <w:rsid w:val="002F4B80"/>
    <w:rsid w:val="002F63C7"/>
    <w:rsid w:val="003B1269"/>
    <w:rsid w:val="00471C4D"/>
    <w:rsid w:val="005F16E3"/>
    <w:rsid w:val="008420D6"/>
    <w:rsid w:val="0086234B"/>
    <w:rsid w:val="008C6AE9"/>
    <w:rsid w:val="008F25CB"/>
    <w:rsid w:val="0091628A"/>
    <w:rsid w:val="00A03382"/>
    <w:rsid w:val="00A22BC8"/>
    <w:rsid w:val="00A35616"/>
    <w:rsid w:val="00AB4058"/>
    <w:rsid w:val="00B24261"/>
    <w:rsid w:val="00D55D61"/>
    <w:rsid w:val="00E575C2"/>
    <w:rsid w:val="00EC1340"/>
    <w:rsid w:val="00FE4335"/>
    <w:rsid w:val="00F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671E5"/>
  <w15:chartTrackingRefBased/>
  <w15:docId w15:val="{EEB2E64B-8DD2-43D3-AAC4-58BE4470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74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9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7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8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33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68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2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1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3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3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3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1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4779B-2CBF-4719-8CE5-56CDCB8D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Baines</dc:creator>
  <cp:keywords/>
  <dc:description/>
  <cp:lastModifiedBy>Georgina Baines</cp:lastModifiedBy>
  <cp:revision>3</cp:revision>
  <dcterms:created xsi:type="dcterms:W3CDTF">2021-05-13T16:21:00Z</dcterms:created>
  <dcterms:modified xsi:type="dcterms:W3CDTF">2021-05-13T16:23:00Z</dcterms:modified>
</cp:coreProperties>
</file>